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员工总数及研发人员数量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产品及服务优势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描述产品相对其他竞品在功能和技术上的优势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描述提供服务的优势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及相关人员职业证书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（投标人需提供公证机构执业证书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及公司相关人员职业证书或</w:t>
      </w:r>
      <w:r>
        <w:rPr>
          <w:rFonts w:hint="eastAsia" w:ascii="宋体" w:hAnsi="宋体" w:eastAsia="宋体"/>
          <w:bCs/>
          <w:sz w:val="24"/>
          <w:szCs w:val="24"/>
        </w:rPr>
        <w:t>相关证明文件复印件并加盖投标人公章。）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r>
        <w:br w:type="page"/>
      </w:r>
    </w:p>
    <w:p>
      <w:pPr>
        <w:spacing w:before="100" w:line="360" w:lineRule="auto"/>
        <w:jc w:val="left"/>
        <w:rPr>
          <w:rFonts w:hint="eastAsia" w:ascii="黑体" w:hAnsi="黑体" w:eastAsia="黑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tbl>
      <w:tblPr>
        <w:tblStyle w:val="10"/>
        <w:tblpPr w:leftFromText="180" w:rightFromText="180" w:vertAnchor="text" w:horzAnchor="page" w:tblpX="1117" w:tblpY="546"/>
        <w:tblOverlap w:val="never"/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52"/>
        <w:gridCol w:w="1470"/>
        <w:gridCol w:w="1730"/>
        <w:gridCol w:w="2135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维保内容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维保费用（含税价）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增值税税率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单位（公章）：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人名称：          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>
      <w:pPr>
        <w:rPr>
          <w:rFonts w:hint="eastAsia" w:ascii="Calibri" w:hAnsi="Calibri" w:eastAsia="宋体" w:cs="Times New Roman"/>
        </w:rPr>
      </w:pPr>
      <w:r>
        <w:rPr>
          <w:rFonts w:ascii="Calibri" w:hAnsi="Calibri" w:eastAsia="宋体" w:cs="Times New Roman"/>
        </w:rPr>
        <w:br w:type="page"/>
      </w:r>
    </w:p>
    <w:p>
      <w:pPr>
        <w:numPr>
          <w:ilvl w:val="0"/>
          <w:numId w:val="0"/>
        </w:numPr>
        <w:jc w:val="left"/>
        <w:outlineLvl w:val="2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4、同类业绩情况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10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92"/>
        <w:gridCol w:w="1977"/>
        <w:gridCol w:w="22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甲方单位名称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请提供近三年1个及以上同类业绩，附提供合同关键页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pStyle w:val="5"/>
        <w:rPr>
          <w:rFonts w:hint="eastAsia" w:ascii="宋体" w:hAnsi="宋体" w:eastAsia="宋体"/>
          <w:bCs/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mFjOTIyNGI4YTcwOTA5Y2YwYWU0ZmZmNGE3YzUifQ=="/>
  </w:docVars>
  <w:rsids>
    <w:rsidRoot w:val="49C47D96"/>
    <w:rsid w:val="07651114"/>
    <w:rsid w:val="08B830AA"/>
    <w:rsid w:val="0FEE5488"/>
    <w:rsid w:val="12643A17"/>
    <w:rsid w:val="128B6CB6"/>
    <w:rsid w:val="1DC558E6"/>
    <w:rsid w:val="1E212505"/>
    <w:rsid w:val="2B524D23"/>
    <w:rsid w:val="2E862DF3"/>
    <w:rsid w:val="30BD0622"/>
    <w:rsid w:val="393960FA"/>
    <w:rsid w:val="49C47D96"/>
    <w:rsid w:val="5BD43855"/>
    <w:rsid w:val="61E3449C"/>
    <w:rsid w:val="643E628F"/>
    <w:rsid w:val="6B8538F6"/>
    <w:rsid w:val="6BAB7455"/>
    <w:rsid w:val="73643C6C"/>
    <w:rsid w:val="76B03549"/>
    <w:rsid w:val="791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szCs w:val="24"/>
    </w:rPr>
  </w:style>
  <w:style w:type="paragraph" w:customStyle="1" w:styleId="4">
    <w:name w:val="xl53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黑体" w:hAnsi="宋体" w:eastAsia="黑体"/>
      <w:kern w:val="0"/>
      <w:sz w:val="24"/>
    </w:rPr>
  </w:style>
  <w:style w:type="paragraph" w:styleId="5">
    <w:name w:val="Body Text"/>
    <w:basedOn w:val="1"/>
    <w:next w:val="6"/>
    <w:autoRedefine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370</Characters>
  <Lines>0</Lines>
  <Paragraphs>0</Paragraphs>
  <TotalTime>1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2023-01-05T03:31:00Z</dcterms:created>
  <dc:creator>a20220148</dc:creator>
  <cp:lastModifiedBy>马睿</cp:lastModifiedBy>
  <cp:lastPrinted>2023-01-05T07:01:00Z</cp:lastPrinted>
  <dcterms:modified xsi:type="dcterms:W3CDTF">2024-06-30T09:55:50Z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17EB3E790197412DB978E86B1D5AEF2D_13</vt:lpwstr>
  </property>
</Properties>
</file>