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ind w:firstLine="0" w:firstLineChars="0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深圳市安居集团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有限公司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关于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市本级保障性住房商业设施配套</w:t>
      </w:r>
      <w:r>
        <w:rPr>
          <w:rFonts w:hint="eastAsia" w:ascii="方正小标宋简体" w:eastAsia="方正小标宋简体"/>
          <w:color w:val="auto"/>
          <w:sz w:val="44"/>
          <w:szCs w:val="44"/>
        </w:rPr>
        <w:t>融资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文件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的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递交要求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集团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拟就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部分市本级保障性住房商业设施配套项目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融资事宜进行公开评选。参与单位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应递交上述项目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融资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方案。具体要求如下：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bookmarkStart w:id="0" w:name="_Toc14214"/>
      <w:bookmarkStart w:id="1" w:name="_Toc29833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一、递交文件的要求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（一）递交文件模板：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融资方案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格式见附件2，不可更改。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（二）递交文件分数：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1份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A4纸打印，融资方案落款处加盖参与单位公章（若为银行则为深圳区域的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总行或分行公章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（三）报价利率要求: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以1年期/5年期LPR为基准浮动的报价。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（四）递交文件包装：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应使用不透明文件袋密封全部份数的融资方案，并在封口处加盖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参与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公章（若为银行则为深圳区域的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总行或分行公章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二、递交截止时间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bCs/>
          <w:color w:val="000000"/>
          <w:sz w:val="32"/>
          <w:szCs w:val="32"/>
          <w:u w:val="single"/>
          <w:lang w:val="en-US" w:eastAsia="zh-CN"/>
        </w:rPr>
        <w:t>融资批复材料及盖章版的融资方案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应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于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16: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00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前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递交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至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安居集团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联系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人处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，逾期不接收资料，视为不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参与本项目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（一）联系人信息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联系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人：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叶嘉静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地址：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深圳市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南山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粤海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高新南十道与科苑南路交汇深圳湾创新科技中心2栋A座（T1栋）61楼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电话：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0755-83080285（工作日9:00-18:00）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邮箱：yejiaj@szrcaj.com  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（二）递交文件封面应载明的信息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①参与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名称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②项目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名称：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安居集团市本级保障性住房商业设施配套</w:t>
      </w:r>
      <w:bookmarkStart w:id="2" w:name="_GoBack"/>
      <w:bookmarkEnd w:id="2"/>
      <w:r>
        <w:rPr>
          <w:rFonts w:hint="default" w:ascii="仿宋_GB2312" w:eastAsia="仿宋_GB2312"/>
          <w:color w:val="auto"/>
          <w:sz w:val="32"/>
          <w:szCs w:val="32"/>
        </w:rPr>
        <w:t>融资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③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在202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16: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00（北京时间）前不得开启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仿宋_GB2312" w:hAnsi="Calibri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深圳市安居集团有限公司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1260" w:rightChars="600" w:firstLine="0" w:firstLineChars="0"/>
        <w:jc w:val="right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2025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日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56184"/>
    <w:rsid w:val="01F4668B"/>
    <w:rsid w:val="026831DA"/>
    <w:rsid w:val="032B4C98"/>
    <w:rsid w:val="05180068"/>
    <w:rsid w:val="0CA1581F"/>
    <w:rsid w:val="1176411D"/>
    <w:rsid w:val="129726C2"/>
    <w:rsid w:val="13BF5D80"/>
    <w:rsid w:val="16882A21"/>
    <w:rsid w:val="1D752B34"/>
    <w:rsid w:val="243B21CF"/>
    <w:rsid w:val="28B658AF"/>
    <w:rsid w:val="297B62F1"/>
    <w:rsid w:val="2BD200F8"/>
    <w:rsid w:val="2C1C636E"/>
    <w:rsid w:val="2D4E371B"/>
    <w:rsid w:val="31421157"/>
    <w:rsid w:val="367576DD"/>
    <w:rsid w:val="39415A13"/>
    <w:rsid w:val="3999062A"/>
    <w:rsid w:val="3B2D5D00"/>
    <w:rsid w:val="43137E8F"/>
    <w:rsid w:val="44144B8B"/>
    <w:rsid w:val="45614A71"/>
    <w:rsid w:val="49796A18"/>
    <w:rsid w:val="4B077088"/>
    <w:rsid w:val="4C2F2CC6"/>
    <w:rsid w:val="60EB4BB4"/>
    <w:rsid w:val="663145DE"/>
    <w:rsid w:val="68E15249"/>
    <w:rsid w:val="6C8D2351"/>
    <w:rsid w:val="6CED2025"/>
    <w:rsid w:val="6FA0117D"/>
    <w:rsid w:val="7109698D"/>
    <w:rsid w:val="71CF4D82"/>
    <w:rsid w:val="71D21EEE"/>
    <w:rsid w:val="71EF3FF7"/>
    <w:rsid w:val="748B6EFD"/>
    <w:rsid w:val="76A52FA5"/>
    <w:rsid w:val="7A774BED"/>
    <w:rsid w:val="7DC7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41"/>
    </w:pPr>
    <w:rPr>
      <w:rFonts w:ascii="华文细黑" w:hAnsi="华文细黑" w:eastAsia="华文细黑"/>
      <w:sz w:val="24"/>
      <w:szCs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semiHidden/>
    <w:qFormat/>
    <w:uiPriority w:val="0"/>
    <w:pPr>
      <w:ind w:firstLine="420"/>
    </w:pPr>
    <w:rPr>
      <w:rFonts w:eastAsia="宋体" w:cs="Times New Roman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0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2022-03-08T06:37:00Z</dcterms:created>
  <dc:creator>胡尚书</dc:creator>
  <cp:lastModifiedBy>叶嘉静</cp:lastModifiedBy>
  <cp:lastPrinted>2022-05-19T02:08:00Z</cp:lastPrinted>
  <dcterms:modified xsi:type="dcterms:W3CDTF">2025-06-25T03:08:58Z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F3E78DDF59CA4A338F9B91C3EF0C4460</vt:lpwstr>
  </property>
</Properties>
</file>